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rPr>
          <w:sz w:val="36"/>
          <w14:textOutline w14:w="3175" w14:cap="rnd" w14:cmpd="sng" w14:algn="ctr">
            <w14:solidFill>
              <w14:srgbClr w14:val="000000"/>
            </w14:solidFill>
            <w14:prstDash w14:val="solid"/>
            <w14:bevel/>
          </w14:textOutline>
        </w:rPr>
      </w:pPr>
      <w:r>
        <w:rPr>
          <w:rFonts w:hint="eastAsia" w:ascii="宋体" w:hAnsi="宋体" w:eastAsia="宋体"/>
          <w:b/>
          <w:color w:val="auto"/>
          <w:sz w:val="36"/>
          <w:szCs w:val="21"/>
          <w:lang w:val="zh-CN"/>
          <w14:textOutline w14:w="3175" w14:cap="rnd" w14:cmpd="sng" w14:algn="ctr">
            <w14:solidFill>
              <w14:srgbClr w14:val="000000"/>
            </w14:solidFill>
            <w14:prstDash w14:val="solid"/>
            <w14:bevel/>
          </w14:textOutline>
        </w:rPr>
        <w:t>浙江嘉行慈善基金会财务管理制度</w:t>
      </w:r>
    </w:p>
    <w:p>
      <w:pPr>
        <w:spacing w:line="480" w:lineRule="auto"/>
        <w:rPr>
          <w:rFonts w:hint="eastAsia"/>
          <w:szCs w:val="21"/>
        </w:rPr>
      </w:pPr>
    </w:p>
    <w:p>
      <w:pPr>
        <w:spacing w:line="480" w:lineRule="auto"/>
        <w:ind w:firstLine="480" w:firstLineChars="200"/>
        <w:rPr>
          <w:rFonts w:hint="eastAsia"/>
          <w:szCs w:val="21"/>
        </w:rPr>
      </w:pPr>
      <w:r>
        <w:rPr>
          <w:rFonts w:hint="eastAsia"/>
          <w:szCs w:val="21"/>
        </w:rPr>
        <w:t>为规范基金会财务工作，依据《民间非营利组织会计制度》、《会计基础工作规范》、《章程》，制定以下财务管理制度：</w:t>
      </w:r>
    </w:p>
    <w:p>
      <w:pPr>
        <w:spacing w:line="480" w:lineRule="auto"/>
        <w:ind w:firstLine="482" w:firstLineChars="200"/>
        <w:rPr>
          <w:rFonts w:hint="eastAsia"/>
          <w:b/>
          <w:szCs w:val="21"/>
        </w:rPr>
      </w:pPr>
      <w:r>
        <w:rPr>
          <w:rFonts w:hint="eastAsia"/>
          <w:b/>
          <w:szCs w:val="21"/>
        </w:rPr>
        <w:t>一、会计核算办法</w:t>
      </w:r>
      <w:bookmarkStart w:id="0" w:name="_GoBack"/>
      <w:bookmarkEnd w:id="0"/>
    </w:p>
    <w:p>
      <w:pPr>
        <w:spacing w:line="480" w:lineRule="auto"/>
        <w:ind w:firstLine="480" w:firstLineChars="200"/>
        <w:rPr>
          <w:rFonts w:hint="eastAsia"/>
          <w:szCs w:val="21"/>
        </w:rPr>
      </w:pPr>
      <w:r>
        <w:rPr>
          <w:rFonts w:hint="eastAsia"/>
          <w:szCs w:val="21"/>
        </w:rPr>
        <w:t>基金会财务人员以《民间非营利组织会计制度》为准则进行财务核算，建立电子账，并出具各财务报表，依据报表进行纳税申报。</w:t>
      </w:r>
    </w:p>
    <w:p>
      <w:pPr>
        <w:spacing w:line="480" w:lineRule="auto"/>
        <w:ind w:firstLine="482" w:firstLineChars="200"/>
        <w:rPr>
          <w:rFonts w:hint="eastAsia"/>
          <w:b/>
          <w:szCs w:val="21"/>
        </w:rPr>
      </w:pPr>
      <w:r>
        <w:rPr>
          <w:rFonts w:hint="eastAsia"/>
          <w:b/>
          <w:szCs w:val="21"/>
        </w:rPr>
        <w:t>二、财务人员配置及职责</w:t>
      </w:r>
    </w:p>
    <w:p>
      <w:pPr>
        <w:spacing w:line="480" w:lineRule="auto"/>
        <w:ind w:firstLine="480" w:firstLineChars="200"/>
        <w:rPr>
          <w:rFonts w:hint="eastAsia"/>
          <w:szCs w:val="21"/>
        </w:rPr>
      </w:pPr>
      <w:r>
        <w:rPr>
          <w:rFonts w:hint="eastAsia"/>
          <w:szCs w:val="21"/>
        </w:rPr>
        <w:t>基金会配会计一名，（兼职）出纳一名。出纳主要负责审核票据的填写的正确与否，票据的真实性。会计负责账务处理、出具各种财务报表，并及时申报个税、增值税、企业所得税、印花税等税种。</w:t>
      </w:r>
    </w:p>
    <w:p>
      <w:pPr>
        <w:spacing w:line="480" w:lineRule="auto"/>
        <w:ind w:firstLine="482" w:firstLineChars="200"/>
        <w:rPr>
          <w:rFonts w:hint="eastAsia"/>
          <w:b/>
          <w:szCs w:val="21"/>
        </w:rPr>
      </w:pPr>
      <w:r>
        <w:rPr>
          <w:rFonts w:hint="eastAsia"/>
          <w:b/>
          <w:szCs w:val="21"/>
        </w:rPr>
        <w:t>三、货币资金的管理</w:t>
      </w:r>
    </w:p>
    <w:p>
      <w:pPr>
        <w:spacing w:line="480" w:lineRule="auto"/>
        <w:ind w:firstLine="480" w:firstLineChars="200"/>
        <w:rPr>
          <w:rFonts w:hint="eastAsia"/>
          <w:szCs w:val="21"/>
        </w:rPr>
      </w:pPr>
      <w:r>
        <w:rPr>
          <w:rFonts w:hint="eastAsia"/>
          <w:szCs w:val="21"/>
        </w:rPr>
        <w:t>1、现金的管理</w:t>
      </w:r>
    </w:p>
    <w:p>
      <w:pPr>
        <w:spacing w:line="480" w:lineRule="auto"/>
        <w:ind w:firstLine="480" w:firstLineChars="200"/>
        <w:rPr>
          <w:rFonts w:hint="eastAsia"/>
          <w:szCs w:val="21"/>
        </w:rPr>
      </w:pPr>
      <w:r>
        <w:rPr>
          <w:rFonts w:hint="eastAsia"/>
          <w:szCs w:val="21"/>
        </w:rPr>
        <w:t>基金会在实际工作中，尽量避免现金收支，往来单位或个人有银行账户信息的，尽量使用银行转账支付，当天发生的现金收支，必须及时入账，不得无故拖延，库存现金做到日清月结，由财务人员进行定期或不定期的盘账，做到账实相符。</w:t>
      </w:r>
    </w:p>
    <w:p>
      <w:pPr>
        <w:spacing w:line="480" w:lineRule="auto"/>
        <w:ind w:firstLine="480" w:firstLineChars="200"/>
        <w:rPr>
          <w:rFonts w:hint="eastAsia"/>
          <w:szCs w:val="21"/>
        </w:rPr>
      </w:pPr>
      <w:r>
        <w:rPr>
          <w:rFonts w:hint="eastAsia"/>
          <w:szCs w:val="21"/>
        </w:rPr>
        <w:t>2、银行存款的管理</w:t>
      </w:r>
    </w:p>
    <w:p>
      <w:pPr>
        <w:spacing w:line="480" w:lineRule="auto"/>
        <w:ind w:firstLine="480" w:firstLineChars="200"/>
        <w:rPr>
          <w:rFonts w:hint="eastAsia"/>
          <w:szCs w:val="21"/>
        </w:rPr>
      </w:pPr>
      <w:r>
        <w:rPr>
          <w:rFonts w:hint="eastAsia"/>
          <w:szCs w:val="21"/>
        </w:rPr>
        <w:t>基金会开立一个银行基本存款账户及一个一般帐户，出纳在支付款项时应仔细核对收款账户信息，以防付错。出纳录入付款指令后再有会计审核支付。出纳应妥善保管账户信息及印鉴。</w:t>
      </w:r>
    </w:p>
    <w:p>
      <w:pPr>
        <w:spacing w:line="480" w:lineRule="auto"/>
        <w:ind w:firstLine="480" w:firstLineChars="200"/>
        <w:rPr>
          <w:rFonts w:hint="eastAsia"/>
          <w:szCs w:val="21"/>
        </w:rPr>
      </w:pPr>
      <w:r>
        <w:rPr>
          <w:rFonts w:hint="eastAsia"/>
          <w:szCs w:val="21"/>
        </w:rPr>
        <w:t>出纳应定期核对银行存款余额，会计做到每月一核。如遇银行存款科目余额与银行对账单不一致，及时核对并编制银行余额调节表说明。</w:t>
      </w:r>
    </w:p>
    <w:p>
      <w:pPr>
        <w:spacing w:line="480" w:lineRule="auto"/>
        <w:ind w:firstLine="482" w:firstLineChars="200"/>
        <w:rPr>
          <w:rFonts w:hint="eastAsia"/>
          <w:b/>
          <w:szCs w:val="21"/>
        </w:rPr>
      </w:pPr>
      <w:r>
        <w:rPr>
          <w:rFonts w:hint="eastAsia"/>
          <w:b/>
          <w:szCs w:val="21"/>
        </w:rPr>
        <w:t>四、业务活动收支管理办法</w:t>
      </w:r>
    </w:p>
    <w:p>
      <w:pPr>
        <w:spacing w:line="480" w:lineRule="auto"/>
        <w:ind w:firstLine="480" w:firstLineChars="200"/>
        <w:rPr>
          <w:rFonts w:hint="eastAsia"/>
          <w:szCs w:val="21"/>
        </w:rPr>
      </w:pPr>
      <w:r>
        <w:rPr>
          <w:rFonts w:hint="eastAsia"/>
          <w:szCs w:val="21"/>
        </w:rPr>
        <w:t>1、业务活动的收入</w:t>
      </w:r>
    </w:p>
    <w:p>
      <w:pPr>
        <w:spacing w:line="480" w:lineRule="auto"/>
        <w:ind w:firstLine="480" w:firstLineChars="200"/>
        <w:rPr>
          <w:rFonts w:hint="eastAsia"/>
          <w:szCs w:val="21"/>
        </w:rPr>
      </w:pPr>
      <w:r>
        <w:rPr>
          <w:rFonts w:hint="eastAsia"/>
          <w:szCs w:val="21"/>
        </w:rPr>
        <w:t>基金会一切业务活动、项目收入均通过基本存款账户收取，不允许个人通过现金、微信、支付宝等支付工具收取。并根据合同和收入金额开具增值税普通发票。</w:t>
      </w:r>
    </w:p>
    <w:p>
      <w:pPr>
        <w:spacing w:line="480" w:lineRule="auto"/>
        <w:ind w:firstLine="480" w:firstLineChars="200"/>
        <w:rPr>
          <w:rFonts w:hint="eastAsia"/>
          <w:szCs w:val="21"/>
        </w:rPr>
      </w:pPr>
      <w:r>
        <w:rPr>
          <w:rFonts w:hint="eastAsia"/>
          <w:szCs w:val="21"/>
        </w:rPr>
        <w:t>2、业务活动的支出</w:t>
      </w:r>
    </w:p>
    <w:p>
      <w:pPr>
        <w:spacing w:line="480" w:lineRule="auto"/>
        <w:ind w:firstLine="480" w:firstLineChars="200"/>
        <w:rPr>
          <w:rFonts w:hint="eastAsia"/>
          <w:szCs w:val="21"/>
        </w:rPr>
      </w:pPr>
      <w:r>
        <w:rPr>
          <w:rFonts w:hint="eastAsia"/>
          <w:szCs w:val="21"/>
        </w:rPr>
        <w:t>对外单位的支出均应取回增值税普通发票，出纳根据对方银行账户信息核对并支付款项。对个人的支出应取得劳务签收单（表）、志愿者补贴签收单等凭证，对多人团体性性质的支付可由领队代领，并监督领队分发给其队员。不能提供收款银行信息的个人劳务费可补贴，由基金会员工代领后通过微信、支付宝等支付工具转发给本人，基金会员工应保留支付凭证备查。</w:t>
      </w:r>
    </w:p>
    <w:p>
      <w:pPr>
        <w:spacing w:line="480" w:lineRule="auto"/>
        <w:ind w:firstLine="482" w:firstLineChars="200"/>
        <w:rPr>
          <w:rFonts w:hint="eastAsia"/>
          <w:b/>
          <w:szCs w:val="21"/>
        </w:rPr>
      </w:pPr>
      <w:r>
        <w:rPr>
          <w:rFonts w:hint="eastAsia"/>
          <w:b/>
          <w:szCs w:val="21"/>
        </w:rPr>
        <w:t>五</w:t>
      </w:r>
      <w:r>
        <w:rPr>
          <w:rFonts w:hint="eastAsia"/>
          <w:b/>
          <w:szCs w:val="21"/>
        </w:rPr>
        <w:t>、费用支出标准和审核</w:t>
      </w:r>
    </w:p>
    <w:p>
      <w:pPr>
        <w:spacing w:line="480" w:lineRule="auto"/>
        <w:ind w:firstLine="480" w:firstLineChars="200"/>
        <w:rPr>
          <w:rFonts w:hint="eastAsia"/>
          <w:szCs w:val="21"/>
        </w:rPr>
      </w:pPr>
      <w:r>
        <w:rPr>
          <w:rFonts w:hint="eastAsia"/>
          <w:szCs w:val="21"/>
        </w:rPr>
        <w:t>1、劳务费和补贴的标准</w:t>
      </w:r>
    </w:p>
    <w:p>
      <w:pPr>
        <w:spacing w:line="480" w:lineRule="auto"/>
        <w:ind w:firstLine="480" w:firstLineChars="200"/>
        <w:rPr>
          <w:rFonts w:hint="eastAsia"/>
          <w:szCs w:val="21"/>
        </w:rPr>
      </w:pPr>
      <w:r>
        <w:rPr>
          <w:rFonts w:hint="eastAsia"/>
          <w:szCs w:val="21"/>
        </w:rPr>
        <w:t>培训费用不超过200元/课时；</w:t>
      </w:r>
    </w:p>
    <w:p>
      <w:pPr>
        <w:spacing w:line="480" w:lineRule="auto"/>
        <w:ind w:firstLine="480" w:firstLineChars="200"/>
        <w:rPr>
          <w:rFonts w:hint="eastAsia"/>
          <w:szCs w:val="21"/>
        </w:rPr>
      </w:pPr>
      <w:r>
        <w:rPr>
          <w:rFonts w:hint="eastAsia"/>
          <w:szCs w:val="21"/>
        </w:rPr>
        <w:t>志愿者补贴半天（4小时）不超过50元，全天（8小时）不超过100元。</w:t>
      </w:r>
    </w:p>
    <w:p>
      <w:pPr>
        <w:spacing w:line="480" w:lineRule="auto"/>
        <w:ind w:firstLine="480" w:firstLineChars="200"/>
        <w:rPr>
          <w:rFonts w:hint="eastAsia"/>
          <w:szCs w:val="21"/>
        </w:rPr>
      </w:pPr>
      <w:r>
        <w:rPr>
          <w:rFonts w:hint="eastAsia"/>
          <w:szCs w:val="21"/>
        </w:rPr>
        <w:t>2、交通费</w:t>
      </w:r>
    </w:p>
    <w:p>
      <w:pPr>
        <w:spacing w:line="480" w:lineRule="auto"/>
        <w:ind w:firstLine="480" w:firstLineChars="200"/>
        <w:rPr>
          <w:rFonts w:hint="eastAsia"/>
          <w:szCs w:val="21"/>
        </w:rPr>
      </w:pPr>
      <w:r>
        <w:rPr>
          <w:rFonts w:hint="eastAsia"/>
          <w:szCs w:val="21"/>
        </w:rPr>
        <w:t>私车公用补贴，每百公里油耗及损耗不超过150元，用油票报销（抬头开具执行单位），并根据实际情况出具《用车记录表》。</w:t>
      </w:r>
    </w:p>
    <w:p>
      <w:pPr>
        <w:spacing w:line="480" w:lineRule="auto"/>
        <w:ind w:firstLine="480" w:firstLineChars="200"/>
        <w:rPr>
          <w:rFonts w:hint="eastAsia"/>
          <w:szCs w:val="21"/>
        </w:rPr>
      </w:pPr>
      <w:r>
        <w:rPr>
          <w:rFonts w:hint="eastAsia"/>
          <w:szCs w:val="21"/>
        </w:rPr>
        <w:t>业务活动或项目执行中产生的乘车、停车费用取得发票据实报销。</w:t>
      </w:r>
    </w:p>
    <w:p>
      <w:pPr>
        <w:spacing w:line="480" w:lineRule="auto"/>
        <w:ind w:firstLine="480" w:firstLineChars="200"/>
        <w:rPr>
          <w:rFonts w:hint="eastAsia"/>
          <w:szCs w:val="21"/>
        </w:rPr>
      </w:pPr>
      <w:r>
        <w:rPr>
          <w:rFonts w:hint="eastAsia"/>
          <w:szCs w:val="21"/>
        </w:rPr>
        <w:t>3、物料费</w:t>
      </w:r>
    </w:p>
    <w:p>
      <w:pPr>
        <w:spacing w:line="480" w:lineRule="auto"/>
        <w:ind w:firstLine="480" w:firstLineChars="200"/>
        <w:rPr>
          <w:rFonts w:hint="eastAsia"/>
          <w:szCs w:val="21"/>
        </w:rPr>
      </w:pPr>
      <w:r>
        <w:rPr>
          <w:rFonts w:hint="eastAsia"/>
          <w:szCs w:val="21"/>
        </w:rPr>
        <w:t>开展业务活动或项目使用的必要物资，应列明物资的种类、用途、数量和金额。不得向受益人直接发放现金或物资救助。</w:t>
      </w:r>
    </w:p>
    <w:p>
      <w:pPr>
        <w:spacing w:line="480" w:lineRule="auto"/>
        <w:ind w:firstLine="480" w:firstLineChars="200"/>
        <w:rPr>
          <w:rFonts w:hint="eastAsia"/>
          <w:szCs w:val="21"/>
        </w:rPr>
      </w:pPr>
      <w:r>
        <w:rPr>
          <w:rFonts w:hint="eastAsia"/>
          <w:szCs w:val="21"/>
        </w:rPr>
        <w:t>批量购入的物品应先入库，每场活动开展前根据实际情况领取，并填写领料单。财务人员根据实际使用数量及金额入账。</w:t>
      </w:r>
    </w:p>
    <w:p>
      <w:pPr>
        <w:spacing w:line="480" w:lineRule="auto"/>
        <w:ind w:firstLine="480" w:firstLineChars="200"/>
        <w:rPr>
          <w:rFonts w:hint="eastAsia"/>
          <w:szCs w:val="21"/>
        </w:rPr>
      </w:pPr>
      <w:r>
        <w:rPr>
          <w:rFonts w:hint="eastAsia"/>
          <w:szCs w:val="21"/>
        </w:rPr>
        <w:t>4、宣传推广费</w:t>
      </w:r>
    </w:p>
    <w:p>
      <w:pPr>
        <w:spacing w:line="480" w:lineRule="auto"/>
        <w:ind w:firstLine="480" w:firstLineChars="200"/>
        <w:rPr>
          <w:rFonts w:hint="eastAsia"/>
          <w:szCs w:val="21"/>
        </w:rPr>
      </w:pPr>
      <w:r>
        <w:rPr>
          <w:rFonts w:hint="eastAsia"/>
          <w:szCs w:val="21"/>
        </w:rPr>
        <w:t>请媒体撰稿人写活动宣传稿并发表的支出费用。</w:t>
      </w:r>
    </w:p>
    <w:p>
      <w:pPr>
        <w:spacing w:line="480" w:lineRule="auto"/>
        <w:ind w:firstLine="480" w:firstLineChars="200"/>
        <w:rPr>
          <w:rFonts w:hint="eastAsia"/>
          <w:szCs w:val="21"/>
        </w:rPr>
      </w:pPr>
      <w:r>
        <w:rPr>
          <w:rFonts w:hint="eastAsia"/>
          <w:szCs w:val="21"/>
        </w:rPr>
        <w:t>5、会议费</w:t>
      </w:r>
    </w:p>
    <w:p>
      <w:pPr>
        <w:spacing w:line="480" w:lineRule="auto"/>
        <w:ind w:firstLine="480" w:firstLineChars="200"/>
        <w:rPr>
          <w:rFonts w:hint="eastAsia"/>
          <w:szCs w:val="21"/>
        </w:rPr>
      </w:pPr>
      <w:r>
        <w:rPr>
          <w:rFonts w:hint="eastAsia"/>
          <w:szCs w:val="21"/>
        </w:rPr>
        <w:t>业务活动或项目执行阶段需安排会议的，所产生的住宿、伙食、场地租金、交通费、影印费等。</w:t>
      </w:r>
    </w:p>
    <w:p>
      <w:pPr>
        <w:spacing w:line="480" w:lineRule="auto"/>
        <w:ind w:firstLine="480" w:firstLineChars="200"/>
        <w:rPr>
          <w:rFonts w:hint="eastAsia"/>
          <w:szCs w:val="21"/>
        </w:rPr>
      </w:pPr>
      <w:r>
        <w:rPr>
          <w:rFonts w:hint="eastAsia"/>
          <w:szCs w:val="21"/>
        </w:rPr>
        <w:t>6、费用的审核及票据的交接</w:t>
      </w:r>
    </w:p>
    <w:p>
      <w:pPr>
        <w:spacing w:line="480" w:lineRule="auto"/>
        <w:ind w:firstLine="480" w:firstLineChars="200"/>
        <w:rPr>
          <w:rFonts w:hint="eastAsia"/>
          <w:szCs w:val="21"/>
        </w:rPr>
      </w:pPr>
      <w:r>
        <w:rPr>
          <w:rFonts w:hint="eastAsia"/>
          <w:szCs w:val="21"/>
        </w:rPr>
        <w:t>在业务活动或项目执行后应及时收集票据并报销各种费用。报销单由项目执行人员据实填写，并在经手人处签字，项目负责人核对后在审核处签字，财务负责人审核，最后由单位负责人批准并签字。报销单据签填完毕，发票整理并粘贴后交会计入账。</w:t>
      </w:r>
    </w:p>
    <w:p>
      <w:pPr>
        <w:spacing w:line="480" w:lineRule="auto"/>
        <w:ind w:firstLine="482" w:firstLineChars="200"/>
        <w:rPr>
          <w:rFonts w:hint="eastAsia"/>
          <w:b/>
          <w:szCs w:val="21"/>
        </w:rPr>
      </w:pPr>
      <w:r>
        <w:rPr>
          <w:rFonts w:hint="eastAsia"/>
          <w:b/>
          <w:szCs w:val="21"/>
        </w:rPr>
        <w:t>六、固定资产与存货的管理</w:t>
      </w:r>
    </w:p>
    <w:p>
      <w:pPr>
        <w:spacing w:line="480" w:lineRule="auto"/>
        <w:ind w:firstLine="480" w:firstLineChars="200"/>
        <w:rPr>
          <w:rFonts w:hint="eastAsia"/>
          <w:szCs w:val="21"/>
        </w:rPr>
      </w:pPr>
      <w:r>
        <w:rPr>
          <w:rFonts w:hint="eastAsia"/>
          <w:szCs w:val="21"/>
        </w:rPr>
        <w:t>购入的固定资产，应按实际支付的购买价款、相关税费、使固定资产达到预定可使用状态前所发生的可归属于该项物资的运输费、装卸费、安装费和专业人员服务费等，作为固定资产取得的成本。</w:t>
      </w:r>
    </w:p>
    <w:p>
      <w:pPr>
        <w:spacing w:line="480" w:lineRule="auto"/>
        <w:ind w:firstLine="480" w:firstLineChars="200"/>
        <w:rPr>
          <w:rFonts w:hint="eastAsia"/>
          <w:szCs w:val="21"/>
        </w:rPr>
      </w:pPr>
      <w:r>
        <w:rPr>
          <w:rFonts w:hint="eastAsia"/>
          <w:szCs w:val="21"/>
        </w:rPr>
        <w:t>及时对固定资产登记在册并编制固定资产卡片。根据固定资产的特性和使用方法选择相应的固定资产折旧方法计提折旧。日常工作和开展业务经常使用的固定资产，基金会采用平均年限法计提折旧；使用次数有限的固定资产采用工作量法计提折旧。</w:t>
      </w:r>
    </w:p>
    <w:p>
      <w:pPr>
        <w:spacing w:line="480" w:lineRule="auto"/>
        <w:ind w:firstLine="480" w:firstLineChars="200"/>
        <w:rPr>
          <w:rFonts w:hint="eastAsia"/>
          <w:szCs w:val="21"/>
        </w:rPr>
      </w:pPr>
      <w:r>
        <w:rPr>
          <w:rFonts w:hint="eastAsia"/>
          <w:szCs w:val="21"/>
        </w:rPr>
        <w:t xml:space="preserve">    对将不适用或不需要的固定资产对外出售转让、或因磨损、技术进步等原因对固定资产进行报废，或因遭受自然灾害而对毁损的固定资产进行处理时，应按照规定程序办理有关手续，结转固定资产的账面价值，计算有关的清理收入、清理费用及残料价值等。</w:t>
      </w:r>
    </w:p>
    <w:p>
      <w:pPr>
        <w:spacing w:line="480" w:lineRule="auto"/>
        <w:ind w:firstLine="480" w:firstLineChars="200"/>
        <w:rPr>
          <w:rFonts w:hint="eastAsia"/>
          <w:szCs w:val="21"/>
        </w:rPr>
      </w:pPr>
      <w:r>
        <w:rPr>
          <w:rFonts w:hint="eastAsia"/>
          <w:szCs w:val="21"/>
        </w:rPr>
        <w:t>批量购入的物品应按实际购买价格及相关税费、运输费作为成本，入库建账管理，领用时填写领料单，每月及时盘点核对数量。</w:t>
      </w:r>
    </w:p>
    <w:p>
      <w:pPr>
        <w:spacing w:line="480" w:lineRule="auto"/>
        <w:ind w:firstLine="482" w:firstLineChars="200"/>
        <w:rPr>
          <w:rFonts w:hint="eastAsia"/>
          <w:b/>
          <w:szCs w:val="21"/>
        </w:rPr>
      </w:pPr>
      <w:r>
        <w:rPr>
          <w:rFonts w:hint="eastAsia"/>
          <w:b/>
          <w:szCs w:val="21"/>
        </w:rPr>
        <w:t>七、投资管理</w:t>
      </w:r>
    </w:p>
    <w:p>
      <w:pPr>
        <w:spacing w:line="480" w:lineRule="auto"/>
        <w:ind w:firstLine="480" w:firstLineChars="200"/>
        <w:rPr>
          <w:rFonts w:hint="eastAsia"/>
          <w:szCs w:val="21"/>
        </w:rPr>
      </w:pPr>
      <w:r>
        <w:rPr>
          <w:rFonts w:hint="eastAsia"/>
          <w:szCs w:val="21"/>
        </w:rPr>
        <w:t>（一）投资活动，主要包括下列情形：</w:t>
      </w:r>
    </w:p>
    <w:p>
      <w:pPr>
        <w:spacing w:line="480" w:lineRule="auto"/>
        <w:ind w:firstLine="480" w:firstLineChars="200"/>
        <w:rPr>
          <w:rFonts w:hint="eastAsia"/>
          <w:szCs w:val="21"/>
        </w:rPr>
      </w:pPr>
      <w:r>
        <w:rPr>
          <w:rFonts w:hint="eastAsia"/>
          <w:szCs w:val="21"/>
        </w:rPr>
        <w:t>1、直接购买银行、信托、证券、基金、期货、保险资产管理机构、金融资产投资公司等金融机构发行的资产管理产品；</w:t>
      </w:r>
    </w:p>
    <w:p>
      <w:pPr>
        <w:spacing w:line="480" w:lineRule="auto"/>
        <w:ind w:firstLine="480" w:firstLineChars="200"/>
        <w:rPr>
          <w:rFonts w:hint="eastAsia"/>
          <w:szCs w:val="21"/>
        </w:rPr>
      </w:pPr>
      <w:r>
        <w:rPr>
          <w:rFonts w:hint="eastAsia"/>
          <w:szCs w:val="21"/>
        </w:rPr>
        <w:t>2、通过发起设立、并购、参股等方式直接进行股权投资；</w:t>
      </w:r>
    </w:p>
    <w:p>
      <w:pPr>
        <w:spacing w:line="480" w:lineRule="auto"/>
        <w:ind w:firstLine="480" w:firstLineChars="200"/>
        <w:rPr>
          <w:rFonts w:hint="eastAsia"/>
          <w:szCs w:val="21"/>
        </w:rPr>
      </w:pPr>
      <w:r>
        <w:rPr>
          <w:rFonts w:hint="eastAsia"/>
          <w:szCs w:val="21"/>
        </w:rPr>
        <w:t>3、将财产委托给受金融监督管理部门监管的机构进行投资。</w:t>
      </w:r>
    </w:p>
    <w:p>
      <w:pPr>
        <w:spacing w:line="480" w:lineRule="auto"/>
        <w:ind w:firstLine="480" w:firstLineChars="200"/>
        <w:rPr>
          <w:rFonts w:hint="eastAsia"/>
          <w:szCs w:val="21"/>
        </w:rPr>
      </w:pPr>
      <w:r>
        <w:rPr>
          <w:rFonts w:hint="eastAsia"/>
          <w:szCs w:val="21"/>
        </w:rPr>
        <w:t>（二）基金会可以用于投资的财产限于非限定性资产和在投资期间暂不需要拨付的限定性资产。接受的政府资助的财产和捐赠协议约定不得投资的财产，不得用于投资。</w:t>
      </w:r>
    </w:p>
    <w:p>
      <w:pPr>
        <w:spacing w:line="480" w:lineRule="auto"/>
        <w:ind w:firstLine="480" w:firstLineChars="200"/>
        <w:rPr>
          <w:rFonts w:hint="eastAsia"/>
          <w:szCs w:val="21"/>
        </w:rPr>
      </w:pPr>
      <w:r>
        <w:rPr>
          <w:rFonts w:hint="eastAsia"/>
          <w:szCs w:val="21"/>
        </w:rPr>
        <w:t>（三）基金会在投资资产管理产品时，应当审慎选择，购买与本组织风险识别能力和风险承担能力相匹配的产品。基金会直接进行股权投资的，被投资方的经营范围应当与慈善组织的宗旨和业务范围相关。基金会开展委托投资的，应当选择中国境内有资质从事投资管理业务，且管理审慎、信誉较高的机构。</w:t>
      </w:r>
    </w:p>
    <w:p>
      <w:pPr>
        <w:spacing w:line="480" w:lineRule="auto"/>
        <w:ind w:firstLine="480" w:firstLineChars="200"/>
        <w:rPr>
          <w:rFonts w:hint="eastAsia"/>
          <w:szCs w:val="21"/>
        </w:rPr>
      </w:pPr>
      <w:r>
        <w:rPr>
          <w:rFonts w:hint="eastAsia"/>
          <w:szCs w:val="21"/>
        </w:rPr>
        <w:t>（四）不得进行下列投资活动：</w:t>
      </w:r>
    </w:p>
    <w:p>
      <w:pPr>
        <w:spacing w:line="480" w:lineRule="auto"/>
        <w:ind w:firstLine="480" w:firstLineChars="200"/>
        <w:rPr>
          <w:rFonts w:hint="eastAsia"/>
          <w:szCs w:val="21"/>
        </w:rPr>
      </w:pPr>
      <w:r>
        <w:rPr>
          <w:rFonts w:hint="eastAsia"/>
          <w:szCs w:val="21"/>
        </w:rPr>
        <w:t>1、直接买卖股票；</w:t>
      </w:r>
    </w:p>
    <w:p>
      <w:pPr>
        <w:spacing w:line="480" w:lineRule="auto"/>
        <w:ind w:firstLine="480" w:firstLineChars="200"/>
        <w:rPr>
          <w:rFonts w:hint="eastAsia"/>
          <w:szCs w:val="21"/>
        </w:rPr>
      </w:pPr>
      <w:r>
        <w:rPr>
          <w:rFonts w:hint="eastAsia"/>
          <w:szCs w:val="21"/>
        </w:rPr>
        <w:t>2、直接购买商品及金融衍生品类产品；</w:t>
      </w:r>
    </w:p>
    <w:p>
      <w:pPr>
        <w:spacing w:line="480" w:lineRule="auto"/>
        <w:ind w:firstLine="480" w:firstLineChars="200"/>
        <w:rPr>
          <w:rFonts w:hint="eastAsia"/>
          <w:szCs w:val="21"/>
        </w:rPr>
      </w:pPr>
      <w:r>
        <w:rPr>
          <w:rFonts w:hint="eastAsia"/>
          <w:szCs w:val="21"/>
        </w:rPr>
        <w:t>3、投资人身保险产品；</w:t>
      </w:r>
    </w:p>
    <w:p>
      <w:pPr>
        <w:spacing w:line="480" w:lineRule="auto"/>
        <w:ind w:firstLine="480" w:firstLineChars="200"/>
        <w:rPr>
          <w:rFonts w:hint="eastAsia"/>
          <w:szCs w:val="21"/>
        </w:rPr>
      </w:pPr>
      <w:r>
        <w:rPr>
          <w:rFonts w:hint="eastAsia"/>
          <w:szCs w:val="21"/>
        </w:rPr>
        <w:t>4、以投资名义向个人、企业提供借款；</w:t>
      </w:r>
    </w:p>
    <w:p>
      <w:pPr>
        <w:spacing w:line="480" w:lineRule="auto"/>
        <w:ind w:firstLine="480" w:firstLineChars="200"/>
        <w:rPr>
          <w:rFonts w:hint="eastAsia"/>
          <w:szCs w:val="21"/>
        </w:rPr>
      </w:pPr>
      <w:r>
        <w:rPr>
          <w:rFonts w:hint="eastAsia"/>
          <w:szCs w:val="21"/>
        </w:rPr>
        <w:t>5、不符合国家产业政策的投资；</w:t>
      </w:r>
    </w:p>
    <w:p>
      <w:pPr>
        <w:spacing w:line="480" w:lineRule="auto"/>
        <w:ind w:firstLine="480" w:firstLineChars="200"/>
        <w:rPr>
          <w:rFonts w:hint="eastAsia"/>
          <w:szCs w:val="21"/>
        </w:rPr>
      </w:pPr>
      <w:r>
        <w:rPr>
          <w:rFonts w:hint="eastAsia"/>
          <w:szCs w:val="21"/>
        </w:rPr>
        <w:t>6、可能使本组织承担无限责任的投资；</w:t>
      </w:r>
    </w:p>
    <w:p>
      <w:pPr>
        <w:spacing w:line="480" w:lineRule="auto"/>
        <w:ind w:firstLine="480" w:firstLineChars="200"/>
        <w:rPr>
          <w:rFonts w:hint="eastAsia"/>
          <w:szCs w:val="21"/>
        </w:rPr>
      </w:pPr>
      <w:r>
        <w:rPr>
          <w:rFonts w:hint="eastAsia"/>
          <w:szCs w:val="21"/>
        </w:rPr>
        <w:t>7、违背本组织宗旨、可能损害信誉的投资；</w:t>
      </w:r>
    </w:p>
    <w:p>
      <w:pPr>
        <w:spacing w:line="480" w:lineRule="auto"/>
        <w:ind w:firstLine="480" w:firstLineChars="200"/>
        <w:rPr>
          <w:rFonts w:hint="eastAsia"/>
          <w:szCs w:val="21"/>
        </w:rPr>
      </w:pPr>
      <w:r>
        <w:rPr>
          <w:rFonts w:hint="eastAsia"/>
          <w:szCs w:val="21"/>
        </w:rPr>
        <w:t>8、非法集资等国家法律法规禁止的其他活动。</w:t>
      </w:r>
    </w:p>
    <w:p>
      <w:pPr>
        <w:spacing w:line="480" w:lineRule="auto"/>
        <w:ind w:firstLine="480" w:firstLineChars="200"/>
        <w:rPr>
          <w:rFonts w:hint="eastAsia"/>
          <w:szCs w:val="21"/>
        </w:rPr>
      </w:pPr>
      <w:r>
        <w:rPr>
          <w:rFonts w:hint="eastAsia"/>
          <w:szCs w:val="21"/>
        </w:rPr>
        <w:t>（五）基金会的投资管理活动应当经理事会成员三分之二以上同意后方可实施。</w:t>
      </w:r>
    </w:p>
    <w:p>
      <w:pPr>
        <w:spacing w:line="480" w:lineRule="auto"/>
        <w:ind w:firstLine="480" w:firstLineChars="200"/>
        <w:rPr>
          <w:rFonts w:hint="eastAsia"/>
          <w:szCs w:val="21"/>
        </w:rPr>
      </w:pPr>
      <w:r>
        <w:rPr>
          <w:rFonts w:hint="eastAsia"/>
          <w:szCs w:val="21"/>
        </w:rPr>
        <w:t>（六）基金会应当建立投资活动专项档案，完整保存投资的决策、执行、管理等资料。专项档案的保存时间不少于20年。</w:t>
      </w:r>
    </w:p>
    <w:p>
      <w:pPr>
        <w:spacing w:line="480" w:lineRule="auto"/>
        <w:ind w:firstLine="480" w:firstLineChars="200"/>
        <w:rPr>
          <w:rFonts w:hint="eastAsia"/>
          <w:szCs w:val="21"/>
        </w:rPr>
      </w:pPr>
      <w:r>
        <w:rPr>
          <w:rFonts w:hint="eastAsia"/>
          <w:szCs w:val="21"/>
        </w:rPr>
        <w:t>（七）投资活动的风险水平以及所能承受的损失程度超过一定比例时应及时合止损。</w:t>
      </w:r>
    </w:p>
    <w:p>
      <w:pPr>
        <w:spacing w:line="480" w:lineRule="auto"/>
        <w:ind w:firstLine="482" w:firstLineChars="200"/>
        <w:rPr>
          <w:rFonts w:hint="eastAsia"/>
          <w:b/>
          <w:szCs w:val="21"/>
        </w:rPr>
      </w:pPr>
      <w:r>
        <w:rPr>
          <w:rFonts w:hint="eastAsia"/>
          <w:b/>
          <w:szCs w:val="21"/>
        </w:rPr>
        <w:t>八、票据管理</w:t>
      </w:r>
    </w:p>
    <w:p>
      <w:pPr>
        <w:spacing w:line="480" w:lineRule="auto"/>
        <w:ind w:firstLine="480" w:firstLineChars="200"/>
        <w:rPr>
          <w:rFonts w:hint="eastAsia"/>
          <w:szCs w:val="21"/>
        </w:rPr>
      </w:pPr>
      <w:r>
        <w:rPr>
          <w:rFonts w:hint="eastAsia"/>
          <w:szCs w:val="21"/>
        </w:rPr>
        <w:t>1、收到的发票</w:t>
      </w:r>
    </w:p>
    <w:p>
      <w:pPr>
        <w:spacing w:line="480" w:lineRule="auto"/>
        <w:ind w:firstLine="480" w:firstLineChars="200"/>
        <w:rPr>
          <w:rFonts w:hint="eastAsia"/>
          <w:szCs w:val="21"/>
        </w:rPr>
      </w:pPr>
      <w:r>
        <w:rPr>
          <w:rFonts w:hint="eastAsia"/>
          <w:szCs w:val="21"/>
        </w:rPr>
        <w:t>鉴于当前使用电子发票较多，基金会工作人员在收到电子发票时应建档保存。并记录发票使用情况，避免一票多报等重复报账情况的发生。</w:t>
      </w:r>
    </w:p>
    <w:p>
      <w:pPr>
        <w:spacing w:line="480" w:lineRule="auto"/>
        <w:ind w:firstLine="480" w:firstLineChars="200"/>
        <w:rPr>
          <w:rFonts w:hint="eastAsia"/>
          <w:szCs w:val="21"/>
        </w:rPr>
      </w:pPr>
      <w:r>
        <w:rPr>
          <w:rFonts w:hint="eastAsia"/>
          <w:szCs w:val="21"/>
        </w:rPr>
        <w:t>2、开出的发票</w:t>
      </w:r>
    </w:p>
    <w:p>
      <w:pPr>
        <w:spacing w:line="480" w:lineRule="auto"/>
        <w:ind w:firstLine="480" w:firstLineChars="200"/>
        <w:rPr>
          <w:rFonts w:hint="eastAsia"/>
          <w:szCs w:val="21"/>
        </w:rPr>
      </w:pPr>
      <w:r>
        <w:rPr>
          <w:rFonts w:hint="eastAsia"/>
          <w:szCs w:val="21"/>
        </w:rPr>
        <w:t xml:space="preserve">    领取空白发票时应及时核对发票号码与税控盘中发行的发票号码是否一致。对外开票时核对受票单位，开票内容及金额，减少作废发票次数。登记每一张发票开票日期、受票单位、开票内容、开票金额。</w:t>
      </w:r>
    </w:p>
    <w:p>
      <w:pPr>
        <w:spacing w:line="480" w:lineRule="auto"/>
        <w:ind w:firstLine="482" w:firstLineChars="200"/>
        <w:rPr>
          <w:rFonts w:hint="eastAsia"/>
          <w:b/>
          <w:szCs w:val="21"/>
        </w:rPr>
      </w:pPr>
      <w:r>
        <w:rPr>
          <w:rFonts w:hint="eastAsia"/>
          <w:b/>
          <w:szCs w:val="21"/>
        </w:rPr>
        <w:t>九、财务报表的编制与分析</w:t>
      </w:r>
    </w:p>
    <w:p>
      <w:pPr>
        <w:spacing w:line="480" w:lineRule="auto"/>
        <w:ind w:firstLine="480" w:firstLineChars="200"/>
        <w:rPr>
          <w:rFonts w:hint="eastAsia"/>
          <w:szCs w:val="21"/>
        </w:rPr>
      </w:pPr>
      <w:r>
        <w:rPr>
          <w:rFonts w:hint="eastAsia"/>
          <w:szCs w:val="21"/>
        </w:rPr>
        <w:t>基金会会计应至少于每季编制《业务活动表》、《资产负债表》《科目余额表》，以供内部、外部人员了解财务状况。并依据报表数据完成每月、每季增值税、企业所得税、个人所得税、附加税等税种的申报。单位负责人应主动了解各报表数据，并分析当前财务情况，合理安排资金使用，保障之后的工作顺畅。</w:t>
      </w:r>
    </w:p>
    <w:p>
      <w:pPr>
        <w:spacing w:line="480" w:lineRule="auto"/>
        <w:ind w:firstLine="482" w:firstLineChars="200"/>
        <w:rPr>
          <w:rFonts w:hint="eastAsia"/>
          <w:b/>
          <w:szCs w:val="21"/>
        </w:rPr>
      </w:pPr>
      <w:r>
        <w:rPr>
          <w:rFonts w:hint="eastAsia"/>
          <w:b/>
          <w:szCs w:val="21"/>
        </w:rPr>
        <w:t>十、会计档案的交接与保存</w:t>
      </w:r>
    </w:p>
    <w:p>
      <w:pPr>
        <w:spacing w:line="480" w:lineRule="auto"/>
        <w:ind w:firstLine="480" w:firstLineChars="200"/>
        <w:rPr>
          <w:rFonts w:hint="eastAsia"/>
          <w:szCs w:val="21"/>
        </w:rPr>
      </w:pPr>
      <w:r>
        <w:rPr>
          <w:rFonts w:hint="eastAsia"/>
          <w:szCs w:val="21"/>
        </w:rPr>
        <w:t>一个会计年度完结后，单位负责人与会计应及时将已完结年度的财务资料报送具有审计资质的事务所审计。完成审计后，将已审计财务资料包括会计凭证、财务报表、银行对账单、申报表等交单位负责人保管，保管人员应将完整的财务资料及审计报告妥善保存，及时填写《会计档案保管清册》。</w:t>
      </w:r>
    </w:p>
    <w:p>
      <w:pPr>
        <w:spacing w:line="480" w:lineRule="auto"/>
        <w:ind w:firstLine="482" w:firstLineChars="200"/>
        <w:rPr>
          <w:rFonts w:hint="eastAsia"/>
          <w:b/>
          <w:szCs w:val="21"/>
        </w:rPr>
      </w:pPr>
      <w:r>
        <w:rPr>
          <w:rFonts w:hint="eastAsia"/>
          <w:b/>
          <w:szCs w:val="21"/>
        </w:rPr>
        <w:t>十一、会计工作的交接管理</w:t>
      </w:r>
    </w:p>
    <w:p>
      <w:pPr>
        <w:spacing w:line="480" w:lineRule="auto"/>
        <w:ind w:firstLine="480" w:firstLineChars="200"/>
        <w:rPr>
          <w:rFonts w:hint="eastAsia"/>
          <w:szCs w:val="21"/>
        </w:rPr>
      </w:pPr>
      <w:r>
        <w:rPr>
          <w:rFonts w:hint="eastAsia"/>
          <w:szCs w:val="21"/>
        </w:rPr>
        <w:t>财务人员工作调动或因故离职时，应该与接替人员办理交接手续；没有办理交接手续的，不得调动或离职。</w:t>
      </w:r>
    </w:p>
    <w:p>
      <w:pPr>
        <w:spacing w:line="480" w:lineRule="auto"/>
        <w:ind w:firstLine="480" w:firstLineChars="200"/>
        <w:rPr>
          <w:rFonts w:hint="eastAsia"/>
          <w:szCs w:val="21"/>
        </w:rPr>
      </w:pPr>
      <w:r>
        <w:rPr>
          <w:rFonts w:hint="eastAsia"/>
          <w:szCs w:val="21"/>
        </w:rPr>
        <w:t>（一）交接要求</w:t>
      </w:r>
    </w:p>
    <w:p>
      <w:pPr>
        <w:spacing w:line="480" w:lineRule="auto"/>
        <w:ind w:firstLine="480" w:firstLineChars="200"/>
        <w:rPr>
          <w:rFonts w:hint="eastAsia"/>
          <w:szCs w:val="21"/>
        </w:rPr>
      </w:pPr>
      <w:r>
        <w:rPr>
          <w:rFonts w:hint="eastAsia"/>
          <w:szCs w:val="21"/>
        </w:rPr>
        <w:t>财务人员办理交接手续前，应该完成如下工作：</w:t>
      </w:r>
    </w:p>
    <w:p>
      <w:pPr>
        <w:spacing w:line="480" w:lineRule="auto"/>
        <w:ind w:firstLine="480" w:firstLineChars="200"/>
        <w:rPr>
          <w:rFonts w:hint="eastAsia"/>
          <w:szCs w:val="21"/>
        </w:rPr>
      </w:pPr>
      <w:r>
        <w:rPr>
          <w:rFonts w:hint="eastAsia"/>
          <w:szCs w:val="21"/>
        </w:rPr>
        <w:t>1、已经受理的经济业务尚未填制会计凭证的，应填制完毕；</w:t>
      </w:r>
    </w:p>
    <w:p>
      <w:pPr>
        <w:spacing w:line="480" w:lineRule="auto"/>
        <w:ind w:firstLine="480" w:firstLineChars="200"/>
        <w:rPr>
          <w:rFonts w:hint="eastAsia"/>
          <w:szCs w:val="21"/>
        </w:rPr>
      </w:pPr>
      <w:r>
        <w:rPr>
          <w:rFonts w:hint="eastAsia"/>
          <w:szCs w:val="21"/>
        </w:rPr>
        <w:t>2、尚未登记的账目，应登记完毕，并结出各账户的余额；各类明细账户的余额应与有关总分类账户余额核对相符，并填制“科目余额表”平账，在最后一笔余额后加盖名章；</w:t>
      </w:r>
    </w:p>
    <w:p>
      <w:pPr>
        <w:spacing w:line="480" w:lineRule="auto"/>
        <w:ind w:firstLine="480" w:firstLineChars="200"/>
        <w:rPr>
          <w:rFonts w:hint="eastAsia"/>
          <w:szCs w:val="21"/>
        </w:rPr>
      </w:pPr>
      <w:r>
        <w:rPr>
          <w:rFonts w:hint="eastAsia"/>
          <w:szCs w:val="21"/>
        </w:rPr>
        <w:t>3、制作会计资料移交清册，列明应交的会计凭证、账簿、报表、印章、现金、有价证券、支票、文件资料和其他物品等内容。</w:t>
      </w:r>
    </w:p>
    <w:p>
      <w:pPr>
        <w:spacing w:line="480" w:lineRule="auto"/>
        <w:ind w:firstLine="480" w:firstLineChars="200"/>
        <w:rPr>
          <w:rFonts w:hint="eastAsia"/>
          <w:szCs w:val="21"/>
        </w:rPr>
      </w:pPr>
      <w:r>
        <w:rPr>
          <w:rFonts w:hint="eastAsia"/>
          <w:szCs w:val="21"/>
        </w:rPr>
        <w:t>（二）监交</w:t>
      </w:r>
    </w:p>
    <w:p>
      <w:pPr>
        <w:spacing w:line="480" w:lineRule="auto"/>
        <w:ind w:firstLine="480" w:firstLineChars="200"/>
        <w:rPr>
          <w:rFonts w:hint="eastAsia"/>
          <w:szCs w:val="21"/>
        </w:rPr>
      </w:pPr>
      <w:r>
        <w:rPr>
          <w:rFonts w:hint="eastAsia"/>
          <w:szCs w:val="21"/>
        </w:rPr>
        <w:t>财务人员办理交接手续时，必需由监交人负责监交。财务经理级以下人员交接，由财务经理监交；财务经理（含不设经理的财务主管）交接，由理事长或其授权人监交。</w:t>
      </w:r>
    </w:p>
    <w:p>
      <w:pPr>
        <w:spacing w:line="480" w:lineRule="auto"/>
        <w:ind w:firstLine="482" w:firstLineChars="200"/>
        <w:rPr>
          <w:rFonts w:hint="eastAsia" w:eastAsia="宋体"/>
          <w:b/>
          <w:szCs w:val="21"/>
          <w:lang w:eastAsia="zh-CN"/>
        </w:rPr>
      </w:pPr>
      <w:r>
        <w:rPr>
          <w:rFonts w:hint="eastAsia"/>
          <w:b/>
          <w:szCs w:val="21"/>
        </w:rPr>
        <w:t>十</w:t>
      </w:r>
      <w:r>
        <w:rPr>
          <w:rFonts w:hint="eastAsia"/>
          <w:b/>
          <w:szCs w:val="21"/>
          <w:lang w:eastAsia="zh-CN"/>
        </w:rPr>
        <w:t>二</w:t>
      </w:r>
      <w:r>
        <w:rPr>
          <w:rFonts w:hint="eastAsia"/>
          <w:b/>
          <w:szCs w:val="21"/>
        </w:rPr>
        <w:t>、</w:t>
      </w:r>
      <w:r>
        <w:rPr>
          <w:rFonts w:hint="eastAsia"/>
          <w:b/>
          <w:szCs w:val="21"/>
          <w:lang w:eastAsia="zh-CN"/>
        </w:rPr>
        <w:t>附则</w:t>
      </w:r>
    </w:p>
    <w:p>
      <w:pPr>
        <w:spacing w:line="480" w:lineRule="auto"/>
        <w:ind w:firstLine="480" w:firstLineChars="200"/>
        <w:rPr>
          <w:rFonts w:hint="eastAsia"/>
          <w:szCs w:val="21"/>
        </w:rPr>
      </w:pPr>
      <w:r>
        <w:rPr>
          <w:rFonts w:hint="eastAsia"/>
          <w:szCs w:val="21"/>
        </w:rPr>
        <w:t>本制度由基金会财务部负责解释，自理事会会议通过发布之日起施行。</w:t>
      </w:r>
    </w:p>
    <w:p>
      <w:pPr>
        <w:spacing w:line="480" w:lineRule="auto"/>
        <w:ind w:firstLine="480" w:firstLineChars="200"/>
        <w:rPr>
          <w:rFonts w:hint="eastAsia"/>
          <w:szCs w:val="21"/>
        </w:rPr>
      </w:pPr>
    </w:p>
    <w:sectPr>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1" locked="0" layoutInCell="1" allowOverlap="1">
          <wp:simplePos x="0" y="0"/>
          <wp:positionH relativeFrom="column">
            <wp:posOffset>-540385</wp:posOffset>
          </wp:positionH>
          <wp:positionV relativeFrom="paragraph">
            <wp:posOffset>-180340</wp:posOffset>
          </wp:positionV>
          <wp:extent cx="759460" cy="593725"/>
          <wp:effectExtent l="0" t="0" r="254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9600" cy="594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iMTRlYzI3MzZkYzY2NjdhZjBlOGU2YjIyM2M0N2MifQ=="/>
  </w:docVars>
  <w:rsids>
    <w:rsidRoot w:val="00AC609F"/>
    <w:rsid w:val="00235CE2"/>
    <w:rsid w:val="00292F13"/>
    <w:rsid w:val="00295A9B"/>
    <w:rsid w:val="008B4FDE"/>
    <w:rsid w:val="00906F58"/>
    <w:rsid w:val="00A05CA6"/>
    <w:rsid w:val="00A40A54"/>
    <w:rsid w:val="00AC609F"/>
    <w:rsid w:val="00C43CFF"/>
    <w:rsid w:val="00C923D9"/>
    <w:rsid w:val="00E318DD"/>
    <w:rsid w:val="00EB012E"/>
    <w:rsid w:val="00F131C5"/>
    <w:rsid w:val="2E201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heme="minorBidi"/>
      <w:kern w:val="2"/>
      <w:sz w:val="24"/>
      <w:szCs w:val="24"/>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Salutation"/>
    <w:basedOn w:val="1"/>
    <w:next w:val="1"/>
    <w:qFormat/>
    <w:uiPriority w:val="0"/>
    <w:pPr>
      <w:textAlignment w:val="baseline"/>
    </w:pPr>
    <w:rPr>
      <w:rFonts w:ascii="Calibri" w:hAnsi="Calibri" w:eastAsia="宋体"/>
    </w:rPr>
  </w:style>
  <w:style w:type="paragraph" w:styleId="5">
    <w:name w:val="toc 3"/>
    <w:basedOn w:val="1"/>
    <w:next w:val="1"/>
    <w:unhideWhenUsed/>
    <w:uiPriority w:val="39"/>
    <w:pPr>
      <w:widowControl/>
      <w:spacing w:after="100" w:line="259" w:lineRule="auto"/>
      <w:ind w:left="440"/>
      <w:jc w:val="left"/>
    </w:pPr>
    <w:rPr>
      <w:rFonts w:cs="Times New Roman" w:asciiTheme="minorHAnsi" w:hAnsiTheme="minorHAnsi" w:eastAsiaTheme="minorEastAsia"/>
      <w:kern w:val="0"/>
      <w:sz w:val="22"/>
      <w:szCs w:val="22"/>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uiPriority w:val="39"/>
    <w:pPr>
      <w:widowControl/>
      <w:spacing w:after="100" w:line="259" w:lineRule="auto"/>
      <w:jc w:val="left"/>
    </w:pPr>
    <w:rPr>
      <w:rFonts w:cs="Times New Roman" w:asciiTheme="minorHAnsi" w:hAnsiTheme="minorHAnsi" w:eastAsiaTheme="minorEastAsia"/>
      <w:kern w:val="0"/>
      <w:sz w:val="22"/>
      <w:szCs w:val="22"/>
    </w:rPr>
  </w:style>
  <w:style w:type="paragraph" w:styleId="9">
    <w:name w:val="toc 2"/>
    <w:basedOn w:val="1"/>
    <w:next w:val="1"/>
    <w:unhideWhenUsed/>
    <w:uiPriority w:val="39"/>
    <w:pPr>
      <w:widowControl/>
      <w:spacing w:after="100" w:line="259" w:lineRule="auto"/>
      <w:ind w:left="220"/>
      <w:jc w:val="left"/>
    </w:pPr>
    <w:rPr>
      <w:rFonts w:cs="Times New Roman" w:asciiTheme="minorHAnsi" w:hAnsiTheme="minorHAnsi" w:eastAsiaTheme="minorEastAsia"/>
      <w:kern w:val="0"/>
      <w:sz w:val="22"/>
      <w:szCs w:val="22"/>
    </w:rPr>
  </w:style>
  <w:style w:type="paragraph" w:styleId="10">
    <w:name w:val="Normal (Web)"/>
    <w:basedOn w:val="1"/>
    <w:qFormat/>
    <w:uiPriority w:val="0"/>
    <w:pPr>
      <w:widowControl/>
      <w:jc w:val="left"/>
    </w:pPr>
    <w:rPr>
      <w:rFonts w:ascii="宋体" w:hAnsi="宋体" w:cs="宋体"/>
      <w:kern w:val="0"/>
      <w:sz w:val="24"/>
    </w:rPr>
  </w:style>
  <w:style w:type="character" w:styleId="13">
    <w:name w:val="Hyperlink"/>
    <w:basedOn w:val="12"/>
    <w:unhideWhenUsed/>
    <w:uiPriority w:val="99"/>
    <w:rPr>
      <w:color w:val="0563C1" w:themeColor="hyperlink"/>
      <w:u w:val="single"/>
      <w14:textFill>
        <w14:solidFill>
          <w14:schemeClr w14:val="hlink"/>
        </w14:solidFill>
      </w14:textFill>
    </w:rPr>
  </w:style>
  <w:style w:type="character" w:customStyle="1" w:styleId="14">
    <w:name w:val="页眉 字符"/>
    <w:basedOn w:val="12"/>
    <w:link w:val="7"/>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标题 1 字符"/>
    <w:basedOn w:val="12"/>
    <w:link w:val="3"/>
    <w:uiPriority w:val="9"/>
    <w:rPr>
      <w:b/>
      <w:bCs/>
      <w:kern w:val="44"/>
      <w:sz w:val="44"/>
      <w:szCs w:val="44"/>
    </w:rPr>
  </w:style>
  <w:style w:type="paragraph" w:customStyle="1" w:styleId="17">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8">
    <w:name w:val="标题 2 字符"/>
    <w:basedOn w:val="12"/>
    <w:link w:val="4"/>
    <w:semiHidden/>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59344-FE3D-4E16-B582-0DC25C7673C6}">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1729</Words>
  <Characters>9859</Characters>
  <Lines>82</Lines>
  <Paragraphs>23</Paragraphs>
  <TotalTime>0</TotalTime>
  <ScaleCrop>false</ScaleCrop>
  <LinksUpToDate>false</LinksUpToDate>
  <CharactersWithSpaces>11565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2022-03-31T02:12:00Z</dcterms:created>
  <dc:creator>Maleficent</dc:creator>
  <cp:lastModifiedBy>WPS_1646828927</cp:lastModifiedBy>
  <dcterms:modified xsi:type="dcterms:W3CDTF">2023-09-15T08:11:47Z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2D7E7DC716224945A85FC6DFEBC9C72C_12</vt:lpwstr>
  </property>
</Properties>
</file>